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355" w:type="dxa"/>
        <w:tblLayout w:type="fixed"/>
        <w:tblCellMar>
          <w:left w:w="71" w:type="dxa"/>
          <w:right w:w="71" w:type="dxa"/>
        </w:tblCellMar>
        <w:tblLook w:val="0000"/>
      </w:tblPr>
      <w:tblGrid>
        <w:gridCol w:w="4607"/>
        <w:gridCol w:w="567"/>
        <w:gridCol w:w="567"/>
        <w:gridCol w:w="4749"/>
      </w:tblGrid>
      <w:tr w:rsidR="00D04C81" w:rsidTr="00947E8A">
        <w:tc>
          <w:tcPr>
            <w:tcW w:w="4607" w:type="dxa"/>
          </w:tcPr>
          <w:p w:rsidR="00D04C81" w:rsidRDefault="00D92A44" w:rsidP="00D04C81">
            <w:pPr>
              <w:jc w:val="center"/>
            </w:pPr>
            <w:r>
              <w:rPr>
                <w:lang w:val="en-US"/>
              </w:rPr>
              <w:t xml:space="preserve"> </w:t>
            </w:r>
            <w:r w:rsidR="00D04C81">
              <w:object w:dxaOrig="3811" w:dyaOrig="3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5pt;height:51.8pt" o:ole="" fillcolor="window">
                  <v:imagedata r:id="rId5" o:title=""/>
                </v:shape>
                <o:OLEObject Type="Embed" ProgID="Word.Picture.8" ShapeID="_x0000_i1025" DrawAspect="Content" ObjectID="_1570865382" r:id="rId6"/>
              </w:object>
            </w:r>
          </w:p>
        </w:tc>
        <w:tc>
          <w:tcPr>
            <w:tcW w:w="567" w:type="dxa"/>
          </w:tcPr>
          <w:p w:rsidR="00D04C81" w:rsidRDefault="00D04C81">
            <w:pPr>
              <w:jc w:val="center"/>
            </w:pPr>
          </w:p>
        </w:tc>
        <w:tc>
          <w:tcPr>
            <w:tcW w:w="567" w:type="dxa"/>
          </w:tcPr>
          <w:p w:rsidR="00D04C81" w:rsidRDefault="00D04C81"/>
        </w:tc>
        <w:tc>
          <w:tcPr>
            <w:tcW w:w="4749" w:type="dxa"/>
          </w:tcPr>
          <w:p w:rsidR="00D04C81" w:rsidRDefault="00D04C81"/>
        </w:tc>
      </w:tr>
      <w:tr w:rsidR="00D04C81" w:rsidTr="00947E8A">
        <w:tc>
          <w:tcPr>
            <w:tcW w:w="4607" w:type="dxa"/>
          </w:tcPr>
          <w:p w:rsidR="00D04C81" w:rsidRPr="000D76C2" w:rsidRDefault="00D04C81" w:rsidP="00D04C81">
            <w:pPr>
              <w:pStyle w:val="1"/>
              <w:rPr>
                <w:rFonts w:ascii="Calibri" w:hAnsi="Calibri"/>
                <w:b w:val="0"/>
              </w:rPr>
            </w:pPr>
            <w:r w:rsidRPr="000D76C2">
              <w:rPr>
                <w:rFonts w:ascii="Calibri" w:hAnsi="Calibri"/>
                <w:b w:val="0"/>
              </w:rPr>
              <w:t>ΕΛΛΗΝΙΚΗ   ΔΗΜΟΚΡΑΤΙΑ</w:t>
            </w:r>
          </w:p>
        </w:tc>
        <w:tc>
          <w:tcPr>
            <w:tcW w:w="567" w:type="dxa"/>
          </w:tcPr>
          <w:p w:rsidR="00D04C81" w:rsidRDefault="00D04C81">
            <w:pPr>
              <w:pStyle w:val="1"/>
              <w:rPr>
                <w:bCs/>
              </w:rPr>
            </w:pPr>
          </w:p>
        </w:tc>
        <w:tc>
          <w:tcPr>
            <w:tcW w:w="567" w:type="dxa"/>
          </w:tcPr>
          <w:p w:rsidR="00D04C81" w:rsidRDefault="00D04C81"/>
        </w:tc>
        <w:tc>
          <w:tcPr>
            <w:tcW w:w="4749" w:type="dxa"/>
          </w:tcPr>
          <w:p w:rsidR="00D04C81" w:rsidRPr="00360377" w:rsidRDefault="002B13B9" w:rsidP="00D1107B">
            <w:pPr>
              <w:rPr>
                <w:szCs w:val="22"/>
              </w:rPr>
            </w:pPr>
            <w:r w:rsidRPr="00360377">
              <w:rPr>
                <w:szCs w:val="22"/>
              </w:rPr>
              <w:t>Ελευσίνα</w:t>
            </w:r>
            <w:r w:rsidRPr="00360377">
              <w:rPr>
                <w:szCs w:val="22"/>
                <w:lang w:val="en-US"/>
              </w:rPr>
              <w:t xml:space="preserve">, </w:t>
            </w:r>
            <w:r w:rsidR="00360377" w:rsidRPr="00360377">
              <w:rPr>
                <w:szCs w:val="22"/>
              </w:rPr>
              <w:t>30</w:t>
            </w:r>
            <w:r w:rsidRPr="00360377">
              <w:rPr>
                <w:szCs w:val="22"/>
              </w:rPr>
              <w:t xml:space="preserve"> </w:t>
            </w:r>
            <w:r w:rsidR="00D1107B" w:rsidRPr="00360377">
              <w:rPr>
                <w:szCs w:val="22"/>
              </w:rPr>
              <w:t>Οκτωβρίου</w:t>
            </w:r>
            <w:r w:rsidR="000B7809" w:rsidRPr="00360377">
              <w:rPr>
                <w:szCs w:val="22"/>
              </w:rPr>
              <w:t xml:space="preserve"> </w:t>
            </w:r>
            <w:r w:rsidRPr="00360377">
              <w:rPr>
                <w:szCs w:val="22"/>
              </w:rPr>
              <w:t xml:space="preserve"> 20</w:t>
            </w:r>
            <w:r w:rsidRPr="00360377">
              <w:rPr>
                <w:szCs w:val="22"/>
                <w:lang w:val="en-US"/>
              </w:rPr>
              <w:t>1</w:t>
            </w:r>
            <w:r w:rsidR="000B7809" w:rsidRPr="00360377">
              <w:rPr>
                <w:szCs w:val="22"/>
              </w:rPr>
              <w:t>7</w:t>
            </w:r>
          </w:p>
        </w:tc>
      </w:tr>
      <w:tr w:rsidR="00D04C81" w:rsidTr="00947E8A">
        <w:tc>
          <w:tcPr>
            <w:tcW w:w="4607" w:type="dxa"/>
          </w:tcPr>
          <w:p w:rsidR="00D04C81" w:rsidRPr="000D76C2" w:rsidRDefault="00D04C81" w:rsidP="00571497">
            <w:pPr>
              <w:jc w:val="center"/>
              <w:rPr>
                <w:rFonts w:ascii="Calibri" w:hAnsi="Calibri"/>
                <w:bCs/>
                <w:szCs w:val="22"/>
              </w:rPr>
            </w:pPr>
            <w:r w:rsidRPr="000D76C2">
              <w:rPr>
                <w:rFonts w:ascii="Calibri" w:hAnsi="Calibri"/>
                <w:bCs/>
                <w:szCs w:val="22"/>
              </w:rPr>
              <w:t>ΥΠΟΥΡΓΕΙΟ</w:t>
            </w:r>
            <w:r w:rsidR="006F7995">
              <w:rPr>
                <w:rFonts w:ascii="Calibri" w:hAnsi="Calibri"/>
                <w:bCs/>
                <w:szCs w:val="22"/>
              </w:rPr>
              <w:t xml:space="preserve"> </w:t>
            </w:r>
            <w:r w:rsidRPr="000D76C2">
              <w:rPr>
                <w:rFonts w:ascii="Calibri" w:hAnsi="Calibri"/>
                <w:bCs/>
                <w:szCs w:val="22"/>
              </w:rPr>
              <w:t xml:space="preserve"> ΠΑΙΔΕΙΑΣ</w:t>
            </w:r>
            <w:r w:rsidR="006F7995">
              <w:rPr>
                <w:rFonts w:ascii="Calibri" w:hAnsi="Calibri"/>
                <w:bCs/>
                <w:szCs w:val="22"/>
              </w:rPr>
              <w:t>,</w:t>
            </w:r>
            <w:r w:rsidR="00571497">
              <w:rPr>
                <w:rFonts w:ascii="Calibri" w:hAnsi="Calibri"/>
                <w:bCs/>
                <w:szCs w:val="22"/>
                <w:lang w:val="en-US"/>
              </w:rPr>
              <w:t xml:space="preserve"> </w:t>
            </w:r>
            <w:r w:rsidR="00571497">
              <w:rPr>
                <w:rFonts w:ascii="Calibri" w:hAnsi="Calibri"/>
                <w:bCs/>
                <w:szCs w:val="22"/>
              </w:rPr>
              <w:t>ΕΡΕΥΝΑΣ</w:t>
            </w:r>
          </w:p>
        </w:tc>
        <w:tc>
          <w:tcPr>
            <w:tcW w:w="567" w:type="dxa"/>
          </w:tcPr>
          <w:p w:rsidR="00D04C81" w:rsidRDefault="00D04C81">
            <w:pPr>
              <w:jc w:val="center"/>
              <w:rPr>
                <w:b/>
                <w:bCs/>
              </w:rPr>
            </w:pPr>
          </w:p>
        </w:tc>
        <w:tc>
          <w:tcPr>
            <w:tcW w:w="567" w:type="dxa"/>
          </w:tcPr>
          <w:p w:rsidR="00D04C81" w:rsidRDefault="00D04C81"/>
        </w:tc>
        <w:tc>
          <w:tcPr>
            <w:tcW w:w="4749" w:type="dxa"/>
          </w:tcPr>
          <w:p w:rsidR="00D04C81" w:rsidRPr="00360377" w:rsidRDefault="00D04C81">
            <w:pPr>
              <w:rPr>
                <w:szCs w:val="22"/>
              </w:rPr>
            </w:pPr>
          </w:p>
        </w:tc>
      </w:tr>
      <w:tr w:rsidR="00D04C81" w:rsidTr="00947E8A">
        <w:tc>
          <w:tcPr>
            <w:tcW w:w="4607" w:type="dxa"/>
          </w:tcPr>
          <w:p w:rsidR="00671BF0" w:rsidRPr="00571497" w:rsidRDefault="00D04C81" w:rsidP="00E16896">
            <w:pPr>
              <w:jc w:val="center"/>
              <w:rPr>
                <w:rFonts w:ascii="Calibri" w:hAnsi="Calibri"/>
                <w:bCs/>
                <w:szCs w:val="22"/>
              </w:rPr>
            </w:pPr>
            <w:r w:rsidRPr="00571497">
              <w:rPr>
                <w:rFonts w:ascii="Calibri" w:hAnsi="Calibri"/>
                <w:bCs/>
                <w:szCs w:val="22"/>
              </w:rPr>
              <w:t xml:space="preserve"> ΚΑΙ ΘΡΗΣΚΕΥΜΑΤΩΝ</w:t>
            </w:r>
            <w:r w:rsidR="00671BF0" w:rsidRPr="00571497">
              <w:rPr>
                <w:rFonts w:ascii="Calibri" w:hAnsi="Calibri"/>
                <w:bCs/>
                <w:szCs w:val="22"/>
              </w:rPr>
              <w:t>.</w:t>
            </w:r>
          </w:p>
        </w:tc>
        <w:tc>
          <w:tcPr>
            <w:tcW w:w="567" w:type="dxa"/>
          </w:tcPr>
          <w:p w:rsidR="00D04C81" w:rsidRDefault="00D04C81">
            <w:pPr>
              <w:jc w:val="center"/>
              <w:rPr>
                <w:b/>
                <w:bCs/>
              </w:rPr>
            </w:pPr>
          </w:p>
        </w:tc>
        <w:tc>
          <w:tcPr>
            <w:tcW w:w="567" w:type="dxa"/>
          </w:tcPr>
          <w:p w:rsidR="00D04C81" w:rsidRDefault="00D04C81"/>
        </w:tc>
        <w:tc>
          <w:tcPr>
            <w:tcW w:w="4749" w:type="dxa"/>
          </w:tcPr>
          <w:p w:rsidR="00D04C81" w:rsidRPr="00360377" w:rsidRDefault="00D04C81" w:rsidP="00C843FD">
            <w:pPr>
              <w:tabs>
                <w:tab w:val="center" w:pos="2091"/>
              </w:tabs>
              <w:rPr>
                <w:szCs w:val="22"/>
              </w:rPr>
            </w:pPr>
            <w:proofErr w:type="spellStart"/>
            <w:r w:rsidRPr="00360377">
              <w:rPr>
                <w:szCs w:val="22"/>
              </w:rPr>
              <w:t>Αριθμ</w:t>
            </w:r>
            <w:proofErr w:type="spellEnd"/>
            <w:r w:rsidRPr="00360377">
              <w:rPr>
                <w:szCs w:val="22"/>
              </w:rPr>
              <w:t xml:space="preserve">. </w:t>
            </w:r>
            <w:proofErr w:type="spellStart"/>
            <w:r w:rsidRPr="00360377">
              <w:rPr>
                <w:szCs w:val="22"/>
              </w:rPr>
              <w:t>Πρωτ</w:t>
            </w:r>
            <w:proofErr w:type="spellEnd"/>
            <w:r w:rsidRPr="00360377">
              <w:rPr>
                <w:szCs w:val="22"/>
              </w:rPr>
              <w:t>.:</w:t>
            </w:r>
            <w:r w:rsidR="0069788E" w:rsidRPr="00360377">
              <w:rPr>
                <w:szCs w:val="22"/>
              </w:rPr>
              <w:t xml:space="preserve"> </w:t>
            </w:r>
            <w:r w:rsidR="00DF6BD7">
              <w:rPr>
                <w:szCs w:val="22"/>
              </w:rPr>
              <w:t>10288</w:t>
            </w:r>
          </w:p>
        </w:tc>
      </w:tr>
      <w:tr w:rsidR="00D04C81" w:rsidTr="00947E8A">
        <w:trPr>
          <w:trHeight w:val="409"/>
        </w:trPr>
        <w:tc>
          <w:tcPr>
            <w:tcW w:w="4607" w:type="dxa"/>
          </w:tcPr>
          <w:p w:rsidR="00D04C81" w:rsidRPr="000D76C2" w:rsidRDefault="00D04C81" w:rsidP="00D04C81">
            <w:pPr>
              <w:jc w:val="center"/>
              <w:rPr>
                <w:rFonts w:ascii="Calibri" w:hAnsi="Calibri"/>
                <w:bCs/>
              </w:rPr>
            </w:pPr>
            <w:r w:rsidRPr="000D76C2">
              <w:rPr>
                <w:rFonts w:ascii="Calibri" w:hAnsi="Calibri"/>
                <w:bCs/>
              </w:rPr>
              <w:t>----</w:t>
            </w:r>
          </w:p>
        </w:tc>
        <w:tc>
          <w:tcPr>
            <w:tcW w:w="567" w:type="dxa"/>
          </w:tcPr>
          <w:p w:rsidR="00D04C81" w:rsidRDefault="00D04C81">
            <w:pPr>
              <w:jc w:val="center"/>
              <w:rPr>
                <w:b/>
                <w:bCs/>
              </w:rPr>
            </w:pPr>
          </w:p>
        </w:tc>
        <w:tc>
          <w:tcPr>
            <w:tcW w:w="567" w:type="dxa"/>
          </w:tcPr>
          <w:p w:rsidR="00D04C81" w:rsidRDefault="00D04C81"/>
        </w:tc>
        <w:tc>
          <w:tcPr>
            <w:tcW w:w="4749" w:type="dxa"/>
          </w:tcPr>
          <w:p w:rsidR="00D04C81" w:rsidRPr="00360377" w:rsidRDefault="00D04C81">
            <w:pPr>
              <w:rPr>
                <w:szCs w:val="22"/>
              </w:rPr>
            </w:pPr>
          </w:p>
        </w:tc>
      </w:tr>
      <w:tr w:rsidR="00D04C81" w:rsidTr="00947E8A">
        <w:tc>
          <w:tcPr>
            <w:tcW w:w="4607" w:type="dxa"/>
          </w:tcPr>
          <w:p w:rsidR="00D04C81" w:rsidRDefault="00D04C81" w:rsidP="00D04C81">
            <w:pPr>
              <w:jc w:val="center"/>
              <w:rPr>
                <w:rFonts w:ascii="Calibri" w:hAnsi="Calibri"/>
                <w:bCs/>
                <w:sz w:val="20"/>
              </w:rPr>
            </w:pPr>
            <w:r w:rsidRPr="000D76C2">
              <w:rPr>
                <w:rFonts w:ascii="Calibri" w:hAnsi="Calibri"/>
                <w:bCs/>
                <w:sz w:val="20"/>
              </w:rPr>
              <w:t>ΠΕΡ\ΚΗ Δ\ΝΣΗ Π.&amp; Δ. ΕΚΠ\ΣΗΣ ΑΤΤΙΚΗΣ</w:t>
            </w:r>
          </w:p>
          <w:p w:rsidR="00360377" w:rsidRDefault="00360377" w:rsidP="00D04C81">
            <w:pPr>
              <w:jc w:val="center"/>
              <w:rPr>
                <w:rFonts w:ascii="Calibri" w:hAnsi="Calibri"/>
                <w:bCs/>
                <w:sz w:val="20"/>
              </w:rPr>
            </w:pPr>
            <w:r>
              <w:rPr>
                <w:rFonts w:ascii="Calibri" w:hAnsi="Calibri"/>
                <w:bCs/>
                <w:sz w:val="20"/>
              </w:rPr>
              <w:t xml:space="preserve">ΔΙΕΥΘΥΝΣΗ ΔΕΥΤΕΡΟΒΑΘΜΙΑΣ ΕΚΠΑΙΔΕΥΣΗΣ </w:t>
            </w:r>
          </w:p>
          <w:p w:rsidR="00360377" w:rsidRPr="000D76C2" w:rsidRDefault="00360377" w:rsidP="00D04C81">
            <w:pPr>
              <w:jc w:val="center"/>
              <w:rPr>
                <w:rFonts w:ascii="Calibri" w:hAnsi="Calibri"/>
                <w:bCs/>
                <w:sz w:val="20"/>
              </w:rPr>
            </w:pPr>
            <w:r>
              <w:rPr>
                <w:rFonts w:ascii="Calibri" w:hAnsi="Calibri"/>
                <w:bCs/>
                <w:sz w:val="20"/>
              </w:rPr>
              <w:t>ΔΥΤΙΚΗΣ ΑΤΤΙΚΗΣ</w:t>
            </w:r>
          </w:p>
        </w:tc>
        <w:tc>
          <w:tcPr>
            <w:tcW w:w="567" w:type="dxa"/>
          </w:tcPr>
          <w:p w:rsidR="00D04C81" w:rsidRDefault="00D04C81">
            <w:pPr>
              <w:jc w:val="center"/>
              <w:rPr>
                <w:b/>
                <w:bCs/>
              </w:rPr>
            </w:pPr>
          </w:p>
        </w:tc>
        <w:tc>
          <w:tcPr>
            <w:tcW w:w="567" w:type="dxa"/>
          </w:tcPr>
          <w:p w:rsidR="00D04C81" w:rsidRDefault="00D04C81"/>
        </w:tc>
        <w:tc>
          <w:tcPr>
            <w:tcW w:w="4749" w:type="dxa"/>
          </w:tcPr>
          <w:p w:rsidR="00D04C81" w:rsidRPr="00360377" w:rsidRDefault="00D04C81">
            <w:pPr>
              <w:rPr>
                <w:szCs w:val="22"/>
              </w:rPr>
            </w:pPr>
          </w:p>
        </w:tc>
      </w:tr>
      <w:tr w:rsidR="00D04C81" w:rsidTr="00947E8A">
        <w:tc>
          <w:tcPr>
            <w:tcW w:w="4607" w:type="dxa"/>
          </w:tcPr>
          <w:p w:rsidR="00D04C81" w:rsidRPr="000D76C2" w:rsidRDefault="00D04C81" w:rsidP="00D04C81">
            <w:pPr>
              <w:jc w:val="center"/>
              <w:rPr>
                <w:rFonts w:ascii="Calibri" w:hAnsi="Calibri"/>
                <w:bCs/>
                <w:sz w:val="20"/>
              </w:rPr>
            </w:pPr>
          </w:p>
        </w:tc>
        <w:tc>
          <w:tcPr>
            <w:tcW w:w="567" w:type="dxa"/>
          </w:tcPr>
          <w:p w:rsidR="00D04C81" w:rsidRDefault="00D04C81">
            <w:pPr>
              <w:jc w:val="center"/>
              <w:rPr>
                <w:b/>
                <w:bCs/>
              </w:rPr>
            </w:pPr>
          </w:p>
        </w:tc>
        <w:tc>
          <w:tcPr>
            <w:tcW w:w="567" w:type="dxa"/>
          </w:tcPr>
          <w:p w:rsidR="00D04C81" w:rsidRDefault="00D04C81"/>
        </w:tc>
        <w:tc>
          <w:tcPr>
            <w:tcW w:w="4749" w:type="dxa"/>
          </w:tcPr>
          <w:p w:rsidR="00360377" w:rsidRPr="00360377" w:rsidRDefault="00360377" w:rsidP="00360377">
            <w:pPr>
              <w:spacing w:after="40"/>
              <w:rPr>
                <w:spacing w:val="-6"/>
                <w:szCs w:val="22"/>
              </w:rPr>
            </w:pPr>
            <w:r w:rsidRPr="00360377">
              <w:rPr>
                <w:b/>
                <w:spacing w:val="-6"/>
                <w:szCs w:val="22"/>
                <w:u w:val="single"/>
              </w:rPr>
              <w:t xml:space="preserve">ΠΡΟΣ </w:t>
            </w:r>
            <w:r w:rsidRPr="00360377">
              <w:rPr>
                <w:spacing w:val="-6"/>
                <w:szCs w:val="22"/>
              </w:rPr>
              <w:t>:</w:t>
            </w:r>
          </w:p>
          <w:p w:rsidR="00360377" w:rsidRDefault="00360377" w:rsidP="00360377">
            <w:pPr>
              <w:spacing w:after="40"/>
              <w:rPr>
                <w:szCs w:val="22"/>
              </w:rPr>
            </w:pPr>
            <w:r w:rsidRPr="00360377">
              <w:rPr>
                <w:szCs w:val="22"/>
              </w:rPr>
              <w:t>Σχολικές Μονάδες Δυτ. Αττικής</w:t>
            </w:r>
          </w:p>
          <w:p w:rsidR="00E57680" w:rsidRDefault="00E57680" w:rsidP="00360377">
            <w:pPr>
              <w:spacing w:after="40"/>
              <w:rPr>
                <w:szCs w:val="22"/>
              </w:rPr>
            </w:pPr>
          </w:p>
          <w:p w:rsidR="00E57680" w:rsidRPr="00E57680" w:rsidRDefault="00E57680" w:rsidP="00360377">
            <w:pPr>
              <w:spacing w:after="40"/>
              <w:rPr>
                <w:szCs w:val="22"/>
                <w:u w:val="single"/>
              </w:rPr>
            </w:pPr>
            <w:r w:rsidRPr="00E57680">
              <w:rPr>
                <w:b/>
                <w:szCs w:val="22"/>
              </w:rPr>
              <w:t xml:space="preserve">ΚΟΙΝ: </w:t>
            </w:r>
            <w:r>
              <w:rPr>
                <w:szCs w:val="22"/>
              </w:rPr>
              <w:t>Περιφερειακή Δ/</w:t>
            </w:r>
            <w:proofErr w:type="spellStart"/>
            <w:r>
              <w:rPr>
                <w:szCs w:val="22"/>
              </w:rPr>
              <w:t>νση</w:t>
            </w:r>
            <w:proofErr w:type="spellEnd"/>
            <w:r>
              <w:rPr>
                <w:szCs w:val="22"/>
              </w:rPr>
              <w:t xml:space="preserve"> Πρωτοβάθμιας και Δευτεροβάθμιας Εκπαίδευσης Δυτικής Αττικής</w:t>
            </w:r>
          </w:p>
          <w:p w:rsidR="00D04C81" w:rsidRPr="00360377" w:rsidRDefault="00D04C81">
            <w:pPr>
              <w:rPr>
                <w:szCs w:val="22"/>
              </w:rPr>
            </w:pPr>
          </w:p>
        </w:tc>
      </w:tr>
      <w:tr w:rsidR="00D1107B" w:rsidTr="00947E8A">
        <w:tc>
          <w:tcPr>
            <w:tcW w:w="4607" w:type="dxa"/>
          </w:tcPr>
          <w:p w:rsidR="00D1107B" w:rsidRPr="002250B2" w:rsidRDefault="00360377" w:rsidP="00052D74">
            <w:pPr>
              <w:rPr>
                <w:rFonts w:ascii="Calibri" w:hAnsi="Calibri"/>
                <w:sz w:val="20"/>
              </w:rPr>
            </w:pPr>
            <w:r>
              <w:rPr>
                <w:rFonts w:ascii="Calibri" w:hAnsi="Calibri"/>
                <w:sz w:val="20"/>
              </w:rPr>
              <w:t xml:space="preserve">           </w:t>
            </w:r>
            <w:proofErr w:type="spellStart"/>
            <w:r>
              <w:rPr>
                <w:rFonts w:ascii="Calibri" w:hAnsi="Calibri"/>
                <w:sz w:val="20"/>
              </w:rPr>
              <w:t>Ταχ</w:t>
            </w:r>
            <w:proofErr w:type="spellEnd"/>
            <w:r>
              <w:rPr>
                <w:rFonts w:ascii="Calibri" w:hAnsi="Calibri"/>
                <w:sz w:val="20"/>
              </w:rPr>
              <w:t>. Δ/</w:t>
            </w:r>
            <w:proofErr w:type="spellStart"/>
            <w:r>
              <w:rPr>
                <w:rFonts w:ascii="Calibri" w:hAnsi="Calibri"/>
                <w:sz w:val="20"/>
              </w:rPr>
              <w:t>νση</w:t>
            </w:r>
            <w:proofErr w:type="spellEnd"/>
            <w:r>
              <w:rPr>
                <w:rFonts w:ascii="Calibri" w:hAnsi="Calibri"/>
                <w:sz w:val="20"/>
              </w:rPr>
              <w:t xml:space="preserve">: </w:t>
            </w:r>
            <w:r w:rsidR="00D1107B">
              <w:rPr>
                <w:rFonts w:ascii="Calibri" w:hAnsi="Calibri"/>
                <w:sz w:val="20"/>
              </w:rPr>
              <w:t>ΙΩΝΟΣ ΔΡΑΓΟΥΜΗ 24</w:t>
            </w:r>
          </w:p>
        </w:tc>
        <w:tc>
          <w:tcPr>
            <w:tcW w:w="567" w:type="dxa"/>
          </w:tcPr>
          <w:p w:rsidR="00D1107B" w:rsidRDefault="00D1107B">
            <w:pPr>
              <w:rPr>
                <w:i/>
                <w:sz w:val="20"/>
              </w:rPr>
            </w:pPr>
          </w:p>
        </w:tc>
        <w:tc>
          <w:tcPr>
            <w:tcW w:w="567" w:type="dxa"/>
          </w:tcPr>
          <w:p w:rsidR="00D1107B" w:rsidRDefault="00D1107B"/>
        </w:tc>
        <w:tc>
          <w:tcPr>
            <w:tcW w:w="4749" w:type="dxa"/>
          </w:tcPr>
          <w:p w:rsidR="00D1107B" w:rsidRDefault="00D1107B"/>
        </w:tc>
      </w:tr>
      <w:tr w:rsidR="00D1107B" w:rsidTr="00947E8A">
        <w:tc>
          <w:tcPr>
            <w:tcW w:w="4607" w:type="dxa"/>
          </w:tcPr>
          <w:p w:rsidR="00D1107B" w:rsidRPr="000D76C2" w:rsidRDefault="00360377" w:rsidP="00D04C81">
            <w:pPr>
              <w:rPr>
                <w:rFonts w:ascii="Calibri" w:hAnsi="Calibri"/>
                <w:sz w:val="20"/>
              </w:rPr>
            </w:pPr>
            <w:r>
              <w:rPr>
                <w:rFonts w:ascii="Calibri" w:hAnsi="Calibri"/>
                <w:sz w:val="20"/>
              </w:rPr>
              <w:t xml:space="preserve">           Τ.Κ. – Πόλη: </w:t>
            </w:r>
            <w:r w:rsidR="00D1107B" w:rsidRPr="000D76C2">
              <w:rPr>
                <w:rFonts w:ascii="Calibri" w:hAnsi="Calibri"/>
                <w:sz w:val="20"/>
              </w:rPr>
              <w:t>19200   Ελευσίνα</w:t>
            </w:r>
          </w:p>
        </w:tc>
        <w:tc>
          <w:tcPr>
            <w:tcW w:w="567" w:type="dxa"/>
          </w:tcPr>
          <w:p w:rsidR="00D1107B" w:rsidRDefault="00D1107B">
            <w:pPr>
              <w:rPr>
                <w:i/>
                <w:sz w:val="20"/>
              </w:rPr>
            </w:pPr>
          </w:p>
        </w:tc>
        <w:tc>
          <w:tcPr>
            <w:tcW w:w="567" w:type="dxa"/>
          </w:tcPr>
          <w:p w:rsidR="00D1107B" w:rsidRDefault="00D1107B"/>
        </w:tc>
        <w:tc>
          <w:tcPr>
            <w:tcW w:w="4749" w:type="dxa"/>
          </w:tcPr>
          <w:p w:rsidR="00D1107B" w:rsidRDefault="00D1107B"/>
        </w:tc>
      </w:tr>
      <w:tr w:rsidR="00D1107B" w:rsidTr="00947E8A">
        <w:tc>
          <w:tcPr>
            <w:tcW w:w="4607" w:type="dxa"/>
          </w:tcPr>
          <w:p w:rsidR="00D1107B" w:rsidRPr="000D76C2" w:rsidRDefault="00360377" w:rsidP="00360377">
            <w:pPr>
              <w:rPr>
                <w:rFonts w:ascii="Calibri" w:hAnsi="Calibri"/>
                <w:sz w:val="20"/>
              </w:rPr>
            </w:pPr>
            <w:r>
              <w:rPr>
                <w:rFonts w:ascii="Calibri" w:hAnsi="Calibri"/>
                <w:sz w:val="20"/>
              </w:rPr>
              <w:t xml:space="preserve">           Πληροφορίες</w:t>
            </w:r>
            <w:r w:rsidRPr="00360377">
              <w:rPr>
                <w:rFonts w:ascii="Calibri" w:hAnsi="Calibri"/>
                <w:sz w:val="20"/>
              </w:rPr>
              <w:t xml:space="preserve">: </w:t>
            </w:r>
            <w:r>
              <w:rPr>
                <w:rFonts w:ascii="Calibri" w:hAnsi="Calibri"/>
                <w:sz w:val="20"/>
              </w:rPr>
              <w:t>Μ. Βλαχοπούλου</w:t>
            </w:r>
          </w:p>
        </w:tc>
        <w:tc>
          <w:tcPr>
            <w:tcW w:w="567" w:type="dxa"/>
          </w:tcPr>
          <w:p w:rsidR="00D1107B" w:rsidRDefault="00D1107B">
            <w:pPr>
              <w:rPr>
                <w:i/>
                <w:sz w:val="20"/>
              </w:rPr>
            </w:pPr>
          </w:p>
        </w:tc>
        <w:tc>
          <w:tcPr>
            <w:tcW w:w="567" w:type="dxa"/>
          </w:tcPr>
          <w:p w:rsidR="00D1107B" w:rsidRDefault="00D1107B"/>
        </w:tc>
        <w:tc>
          <w:tcPr>
            <w:tcW w:w="4749" w:type="dxa"/>
          </w:tcPr>
          <w:p w:rsidR="00D1107B" w:rsidRDefault="00D1107B"/>
        </w:tc>
      </w:tr>
      <w:tr w:rsidR="00D1107B" w:rsidTr="00947E8A">
        <w:tc>
          <w:tcPr>
            <w:tcW w:w="4607" w:type="dxa"/>
          </w:tcPr>
          <w:p w:rsidR="00D1107B" w:rsidRPr="00360377" w:rsidRDefault="00360377" w:rsidP="00435997">
            <w:pPr>
              <w:rPr>
                <w:rFonts w:ascii="Calibri" w:hAnsi="Calibri"/>
                <w:sz w:val="20"/>
              </w:rPr>
            </w:pPr>
            <w:r w:rsidRPr="00360377">
              <w:rPr>
                <w:rFonts w:ascii="Calibri" w:hAnsi="Calibri"/>
                <w:sz w:val="20"/>
              </w:rPr>
              <w:t xml:space="preserve">           </w:t>
            </w:r>
            <w:r w:rsidR="00D1107B" w:rsidRPr="000D76C2">
              <w:rPr>
                <w:rFonts w:ascii="Calibri" w:hAnsi="Calibri"/>
                <w:sz w:val="20"/>
              </w:rPr>
              <w:t>Τηλ</w:t>
            </w:r>
            <w:r w:rsidR="00D1107B">
              <w:rPr>
                <w:rFonts w:ascii="Calibri" w:hAnsi="Calibri"/>
                <w:sz w:val="20"/>
              </w:rPr>
              <w:t>έφωνο</w:t>
            </w:r>
            <w:r w:rsidR="00D1107B" w:rsidRPr="000D76C2">
              <w:rPr>
                <w:rFonts w:ascii="Calibri" w:hAnsi="Calibri"/>
                <w:sz w:val="20"/>
              </w:rPr>
              <w:t xml:space="preserve">.: </w:t>
            </w:r>
            <w:r w:rsidR="00D1107B">
              <w:rPr>
                <w:rFonts w:ascii="Calibri" w:hAnsi="Calibri"/>
                <w:spacing w:val="20"/>
                <w:sz w:val="20"/>
              </w:rPr>
              <w:t>2105549321</w:t>
            </w:r>
          </w:p>
        </w:tc>
        <w:tc>
          <w:tcPr>
            <w:tcW w:w="567" w:type="dxa"/>
          </w:tcPr>
          <w:p w:rsidR="00D1107B" w:rsidRDefault="00D1107B">
            <w:pPr>
              <w:rPr>
                <w:i/>
                <w:sz w:val="20"/>
              </w:rPr>
            </w:pPr>
          </w:p>
        </w:tc>
        <w:tc>
          <w:tcPr>
            <w:tcW w:w="567" w:type="dxa"/>
          </w:tcPr>
          <w:p w:rsidR="00D1107B" w:rsidRDefault="00D1107B"/>
        </w:tc>
        <w:tc>
          <w:tcPr>
            <w:tcW w:w="4749" w:type="dxa"/>
          </w:tcPr>
          <w:p w:rsidR="00D1107B" w:rsidRDefault="00D1107B"/>
        </w:tc>
      </w:tr>
      <w:tr w:rsidR="00D1107B" w:rsidTr="00947E8A">
        <w:tc>
          <w:tcPr>
            <w:tcW w:w="4607" w:type="dxa"/>
          </w:tcPr>
          <w:p w:rsidR="00D1107B" w:rsidRPr="00571497" w:rsidRDefault="00360377" w:rsidP="00D04C81">
            <w:pPr>
              <w:rPr>
                <w:rFonts w:ascii="Calibri" w:hAnsi="Calibri"/>
                <w:sz w:val="20"/>
              </w:rPr>
            </w:pPr>
            <w:r w:rsidRPr="00360377">
              <w:rPr>
                <w:rFonts w:ascii="Calibri" w:hAnsi="Calibri"/>
                <w:sz w:val="20"/>
              </w:rPr>
              <w:t xml:space="preserve">           </w:t>
            </w:r>
            <w:proofErr w:type="spellStart"/>
            <w:r w:rsidR="00D1107B">
              <w:rPr>
                <w:rFonts w:ascii="Calibri" w:hAnsi="Calibri"/>
                <w:sz w:val="20"/>
              </w:rPr>
              <w:t>Ηλεκτ.Ταχυδρομείο</w:t>
            </w:r>
            <w:proofErr w:type="spellEnd"/>
            <w:r w:rsidR="00D1107B">
              <w:rPr>
                <w:rFonts w:ascii="Calibri" w:hAnsi="Calibri"/>
                <w:sz w:val="20"/>
              </w:rPr>
              <w:t xml:space="preserve"> </w:t>
            </w:r>
            <w:r w:rsidR="00D1107B" w:rsidRPr="00571497">
              <w:rPr>
                <w:rFonts w:ascii="Calibri" w:hAnsi="Calibri"/>
                <w:sz w:val="20"/>
              </w:rPr>
              <w:t xml:space="preserve">:mail@dide-dytik.att.sch.gr </w:t>
            </w:r>
          </w:p>
        </w:tc>
        <w:tc>
          <w:tcPr>
            <w:tcW w:w="567" w:type="dxa"/>
          </w:tcPr>
          <w:p w:rsidR="00D1107B" w:rsidRDefault="00D1107B">
            <w:pPr>
              <w:rPr>
                <w:i/>
                <w:sz w:val="20"/>
              </w:rPr>
            </w:pPr>
          </w:p>
        </w:tc>
        <w:tc>
          <w:tcPr>
            <w:tcW w:w="567" w:type="dxa"/>
          </w:tcPr>
          <w:p w:rsidR="00D1107B" w:rsidRDefault="00D1107B"/>
        </w:tc>
        <w:tc>
          <w:tcPr>
            <w:tcW w:w="4749" w:type="dxa"/>
          </w:tcPr>
          <w:p w:rsidR="00D1107B" w:rsidRDefault="00D1107B"/>
        </w:tc>
      </w:tr>
      <w:tr w:rsidR="00D1107B" w:rsidTr="00947E8A">
        <w:tc>
          <w:tcPr>
            <w:tcW w:w="4607" w:type="dxa"/>
          </w:tcPr>
          <w:tbl>
            <w:tblPr>
              <w:tblW w:w="9072" w:type="dxa"/>
              <w:tblInd w:w="71" w:type="dxa"/>
              <w:tblLayout w:type="fixed"/>
              <w:tblCellMar>
                <w:left w:w="71" w:type="dxa"/>
                <w:right w:w="71" w:type="dxa"/>
              </w:tblCellMar>
              <w:tblLook w:val="0000"/>
            </w:tblPr>
            <w:tblGrid>
              <w:gridCol w:w="4962"/>
              <w:gridCol w:w="567"/>
              <w:gridCol w:w="3543"/>
            </w:tblGrid>
            <w:tr w:rsidR="00D1107B" w:rsidRPr="006925FB">
              <w:trPr>
                <w:trHeight w:val="471"/>
              </w:trPr>
              <w:tc>
                <w:tcPr>
                  <w:tcW w:w="4962" w:type="dxa"/>
                </w:tcPr>
                <w:p w:rsidR="00D1107B" w:rsidRPr="007219CE" w:rsidRDefault="00D1107B" w:rsidP="00AE6E84">
                  <w:pPr>
                    <w:rPr>
                      <w:rFonts w:ascii="Calibri" w:hAnsi="Calibri"/>
                      <w:sz w:val="20"/>
                    </w:rPr>
                  </w:pPr>
                </w:p>
              </w:tc>
              <w:tc>
                <w:tcPr>
                  <w:tcW w:w="567" w:type="dxa"/>
                </w:tcPr>
                <w:p w:rsidR="00D1107B" w:rsidRPr="006925FB" w:rsidRDefault="00D1107B" w:rsidP="00AE6E84">
                  <w:pPr>
                    <w:rPr>
                      <w:sz w:val="20"/>
                    </w:rPr>
                  </w:pPr>
                </w:p>
              </w:tc>
              <w:tc>
                <w:tcPr>
                  <w:tcW w:w="3543" w:type="dxa"/>
                </w:tcPr>
                <w:p w:rsidR="00D1107B" w:rsidRPr="006925FB" w:rsidRDefault="00D1107B" w:rsidP="00AE6E84">
                  <w:pPr>
                    <w:rPr>
                      <w:rFonts w:cs="Arial"/>
                      <w:sz w:val="20"/>
                    </w:rPr>
                  </w:pPr>
                </w:p>
              </w:tc>
            </w:tr>
          </w:tbl>
          <w:p w:rsidR="00D1107B" w:rsidRPr="000D76C2" w:rsidRDefault="00D1107B" w:rsidP="00D04C81">
            <w:pPr>
              <w:rPr>
                <w:rFonts w:ascii="Calibri" w:hAnsi="Calibri"/>
                <w:sz w:val="20"/>
              </w:rPr>
            </w:pPr>
          </w:p>
        </w:tc>
        <w:tc>
          <w:tcPr>
            <w:tcW w:w="567" w:type="dxa"/>
          </w:tcPr>
          <w:p w:rsidR="00D1107B" w:rsidRDefault="00D1107B">
            <w:pPr>
              <w:rPr>
                <w:i/>
                <w:sz w:val="20"/>
              </w:rPr>
            </w:pPr>
          </w:p>
        </w:tc>
        <w:tc>
          <w:tcPr>
            <w:tcW w:w="567" w:type="dxa"/>
          </w:tcPr>
          <w:p w:rsidR="00D1107B" w:rsidRDefault="00D1107B"/>
        </w:tc>
        <w:tc>
          <w:tcPr>
            <w:tcW w:w="4749" w:type="dxa"/>
          </w:tcPr>
          <w:p w:rsidR="00D1107B" w:rsidRDefault="00D1107B"/>
        </w:tc>
      </w:tr>
    </w:tbl>
    <w:p w:rsidR="00943978" w:rsidRDefault="00943978">
      <w:pPr>
        <w:tabs>
          <w:tab w:val="left" w:pos="567"/>
        </w:tabs>
        <w:jc w:val="both"/>
      </w:pPr>
    </w:p>
    <w:p w:rsidR="00360377" w:rsidRPr="00DF6BD7" w:rsidRDefault="00DF6BD7" w:rsidP="00052D74">
      <w:pPr>
        <w:tabs>
          <w:tab w:val="left" w:pos="567"/>
        </w:tabs>
        <w:spacing w:line="360" w:lineRule="auto"/>
        <w:jc w:val="both"/>
        <w:rPr>
          <w:b/>
          <w:sz w:val="24"/>
          <w:szCs w:val="24"/>
        </w:rPr>
      </w:pPr>
      <w:r w:rsidRPr="00DF6BD7">
        <w:rPr>
          <w:b/>
          <w:sz w:val="24"/>
          <w:szCs w:val="24"/>
        </w:rPr>
        <w:t>ΘΕΜΑ: «ΠΡΟΚΗΡΥΞΗ ΓΙΑ ΤΗΝ ΠΡΟΣΩΡΙΝΗ ΠΛΗΡΩΣΗ ΚΕΝΗΣ ΘΕΣΗΣ  ΥΠΕΥ-     ΘΥΝΟΥ ΑΓΩΓΗΣ ΥΓΕΙΑΣ ΤΗΣ Δ/ΝΣΗΣ Δ/ΘΜΙΑΣ ΕΚΠ/ΣΗΣ ΔΥΤΙΚΗΣ ΑΤΤΙΚΗΣ»</w:t>
      </w:r>
    </w:p>
    <w:p w:rsidR="00360377" w:rsidRDefault="00360377" w:rsidP="00052D74">
      <w:pPr>
        <w:tabs>
          <w:tab w:val="left" w:pos="567"/>
        </w:tabs>
        <w:spacing w:line="360" w:lineRule="auto"/>
        <w:jc w:val="both"/>
      </w:pPr>
    </w:p>
    <w:p w:rsidR="00360377" w:rsidRDefault="00360377" w:rsidP="00947E8A">
      <w:pPr>
        <w:jc w:val="both"/>
      </w:pPr>
      <w:r>
        <w:t>Έχοντας υπόψη</w:t>
      </w:r>
      <w:r w:rsidRPr="00EA200F">
        <w:t xml:space="preserve">: </w:t>
      </w:r>
    </w:p>
    <w:p w:rsidR="00360377" w:rsidRDefault="00360377" w:rsidP="00947E8A">
      <w:pPr>
        <w:jc w:val="both"/>
      </w:pPr>
    </w:p>
    <w:p w:rsidR="00360377" w:rsidRDefault="00360377" w:rsidP="00947E8A">
      <w:pPr>
        <w:numPr>
          <w:ilvl w:val="0"/>
          <w:numId w:val="2"/>
        </w:numPr>
        <w:spacing w:after="200" w:line="276" w:lineRule="auto"/>
        <w:jc w:val="both"/>
      </w:pPr>
      <w:r>
        <w:t>Το Ν.1566/85 (ΦΕΚ 167 τ. Α΄/30-09-1985).</w:t>
      </w:r>
      <w:r w:rsidRPr="00EA200F">
        <w:t xml:space="preserve"> </w:t>
      </w:r>
    </w:p>
    <w:p w:rsidR="00360377" w:rsidRDefault="00360377" w:rsidP="00947E8A">
      <w:pPr>
        <w:numPr>
          <w:ilvl w:val="0"/>
          <w:numId w:val="2"/>
        </w:numPr>
        <w:spacing w:after="200" w:line="276" w:lineRule="auto"/>
        <w:jc w:val="both"/>
      </w:pPr>
      <w:r>
        <w:t>Την παρ. 2 του άρθρου 8 του Ν.2986/2002 (ΦΕΚ 24/τ. Α΄/13-02-2002) «Οργάνωση των περιφερειακών υπηρεσιών της Πρωτοβάθμιας και Δευτεροβάθμιας Εκπαίδευσης, αξιολ</w:t>
      </w:r>
      <w:r>
        <w:t>ό</w:t>
      </w:r>
      <w:r>
        <w:t>γηση του εκπαιδευτικού έργου και των εκπαιδευτικών, επιμόρφωση των εκπαιδευτικών και άλλες διατάξεις».</w:t>
      </w:r>
    </w:p>
    <w:p w:rsidR="00360377" w:rsidRDefault="00360377" w:rsidP="00947E8A">
      <w:pPr>
        <w:numPr>
          <w:ilvl w:val="0"/>
          <w:numId w:val="2"/>
        </w:numPr>
        <w:spacing w:after="200" w:line="276" w:lineRule="auto"/>
        <w:jc w:val="both"/>
      </w:pPr>
      <w:r>
        <w:t xml:space="preserve">Την με </w:t>
      </w:r>
      <w:r w:rsidRPr="00EA200F">
        <w:t xml:space="preserve">αρ. </w:t>
      </w:r>
      <w:proofErr w:type="spellStart"/>
      <w:r>
        <w:t>πρωτ</w:t>
      </w:r>
      <w:proofErr w:type="spellEnd"/>
      <w:r>
        <w:t>. 92998/Γ7/10-08-2012, άρθρο 12, Υ.Α. (ΦΕΚ 2314 τ. Β΄) «Καθορισμός των οργάνων, των κριτηρίων και της διαδικασίας επιλογής και τοποθέτησης των Υπευθ</w:t>
      </w:r>
      <w:r>
        <w:t>ύ</w:t>
      </w:r>
      <w:r>
        <w:t>νων, Περιβαλλοντικής Εκπαίδευσης, Αγωγής Υγείας Πολιτιστικών Θεμάτων και Σχολικών Δραστηριοτήτων καθώς και των καθηκόντων και αρμοδιοτήτων τους.»</w:t>
      </w:r>
    </w:p>
    <w:p w:rsidR="00360377" w:rsidRDefault="00360377" w:rsidP="00947E8A">
      <w:pPr>
        <w:numPr>
          <w:ilvl w:val="0"/>
          <w:numId w:val="2"/>
        </w:numPr>
        <w:spacing w:after="200" w:line="276" w:lineRule="auto"/>
        <w:jc w:val="both"/>
      </w:pPr>
      <w:r>
        <w:t xml:space="preserve">Την με </w:t>
      </w:r>
      <w:r w:rsidRPr="00EA200F">
        <w:t xml:space="preserve">αρ. </w:t>
      </w:r>
      <w:proofErr w:type="spellStart"/>
      <w:r>
        <w:t>πρωτ</w:t>
      </w:r>
      <w:proofErr w:type="spellEnd"/>
      <w:r>
        <w:t>. 93006/Γ7/22-08-2012 Απόφαση του ΥΠ.ΠΑΙ.Θ.Π.Α. «Προκήρυξη για την πλήρωση θέσεων Υπευθύνων, Περιβαλλοντικής Εκπαίδευσης, Αγωγής Υγείας, Πολιτιστ</w:t>
      </w:r>
      <w:r>
        <w:t>ι</w:t>
      </w:r>
      <w:r>
        <w:t>κών Θεμάτων και Σχολικών Δραστηριοτήτων».</w:t>
      </w:r>
    </w:p>
    <w:p w:rsidR="00360377" w:rsidRDefault="00360377" w:rsidP="00947E8A">
      <w:pPr>
        <w:numPr>
          <w:ilvl w:val="0"/>
          <w:numId w:val="2"/>
        </w:numPr>
        <w:spacing w:after="200" w:line="276" w:lineRule="auto"/>
        <w:jc w:val="both"/>
      </w:pPr>
      <w:r>
        <w:t xml:space="preserve">Την με </w:t>
      </w:r>
      <w:r w:rsidRPr="00EA200F">
        <w:t xml:space="preserve">αρ. </w:t>
      </w:r>
      <w:proofErr w:type="spellStart"/>
      <w:r>
        <w:t>πρωτ</w:t>
      </w:r>
      <w:proofErr w:type="spellEnd"/>
      <w:r>
        <w:t>. 95783/Γ7/22-08-2012 εγκύκλιο του ΥΠ.ΠΑΙ.Θ.Π.Α. «Διευκρινίσεις για την Υ.Α. καθορισμού του τρόπου λειτουργίας των οργάνων, των κριτηρίων και της διαδικασίας επιλογής και τοποθέτησης Υπευθύνων στα Κέντρα Συμβουλευτικής και Προσανατολισμού (ΚΕ.ΣΥ.Π.), Περιβαλλοντικής Εκπαίδευσης, Αγωγής Υγείας, Πολιτιστικών Θεμάτων και Σχολικών Δραστηριοτήτων, Συμβουλευτικών Σταθμών Νέων (Σ.Σ.Ν.), Κέντρα Πληροφορ</w:t>
      </w:r>
      <w:r>
        <w:t>ι</w:t>
      </w:r>
      <w:r>
        <w:t>κής και Νέων Τεχνολογιών (ΚΕ.ΠΛΗ.ΝΕ.Τ.) και Εργαστηριακών Κέντρων Φυσικών Επ</w:t>
      </w:r>
      <w:r>
        <w:t>ι</w:t>
      </w:r>
      <w:r>
        <w:t>στημών (Ε.Κ.Φ.Ε.) καθώς και των καθηκόντων και των αρμοδιοτήτων τους και τις προκ</w:t>
      </w:r>
      <w:r>
        <w:t>η</w:t>
      </w:r>
      <w:r>
        <w:t>ρύξεις».</w:t>
      </w:r>
    </w:p>
    <w:p w:rsidR="00360377" w:rsidRDefault="00360377" w:rsidP="00947E8A">
      <w:pPr>
        <w:numPr>
          <w:ilvl w:val="0"/>
          <w:numId w:val="2"/>
        </w:numPr>
        <w:spacing w:after="200" w:line="276" w:lineRule="auto"/>
        <w:jc w:val="both"/>
      </w:pPr>
      <w:r>
        <w:lastRenderedPageBreak/>
        <w:t xml:space="preserve">Τη με </w:t>
      </w:r>
      <w:proofErr w:type="spellStart"/>
      <w:r>
        <w:t>Αριθμ</w:t>
      </w:r>
      <w:proofErr w:type="spellEnd"/>
      <w:r>
        <w:t>. Φ.353.1/324/105657/Δ1/2002 Υ.Α. όπως τροποποιήθηκε και ισχύει.</w:t>
      </w:r>
    </w:p>
    <w:p w:rsidR="00947E8A" w:rsidRDefault="00360377" w:rsidP="00947E8A">
      <w:pPr>
        <w:ind w:left="720"/>
        <w:jc w:val="both"/>
        <w:rPr>
          <w:b/>
        </w:rPr>
      </w:pPr>
      <w:r>
        <w:rPr>
          <w:b/>
        </w:rPr>
        <w:t xml:space="preserve">                                                    </w:t>
      </w:r>
    </w:p>
    <w:p w:rsidR="00360377" w:rsidRDefault="00360377" w:rsidP="00947E8A">
      <w:pPr>
        <w:ind w:left="720"/>
        <w:jc w:val="center"/>
        <w:rPr>
          <w:b/>
          <w:u w:val="single"/>
        </w:rPr>
      </w:pPr>
      <w:r w:rsidRPr="00D23FB8">
        <w:rPr>
          <w:b/>
          <w:u w:val="single"/>
        </w:rPr>
        <w:t>ΠΡΟΚΗΡΥΣΣΟΥΜΕ</w:t>
      </w:r>
    </w:p>
    <w:p w:rsidR="00947E8A" w:rsidRPr="00D23FB8" w:rsidRDefault="00947E8A" w:rsidP="00947E8A">
      <w:pPr>
        <w:ind w:left="720"/>
        <w:jc w:val="both"/>
        <w:rPr>
          <w:b/>
          <w:u w:val="single"/>
        </w:rPr>
      </w:pPr>
    </w:p>
    <w:p w:rsidR="00360377" w:rsidRDefault="00360377" w:rsidP="00947E8A">
      <w:pPr>
        <w:ind w:firstLine="360"/>
        <w:jc w:val="both"/>
      </w:pPr>
      <w:r>
        <w:t xml:space="preserve">        Την πλήρωση της θέσης Υπευθύνου Σχολικών Δραστηριοτήτων – Αγωγή Υγείας και πρ</w:t>
      </w:r>
      <w:r>
        <w:t>ο</w:t>
      </w:r>
      <w:r>
        <w:t>σκαλούμε τους/τις μόνιμους/μες εκπαιδευτικούς  όλων των κλάδων που ανήκουν οργανικά στη Διεύθυνση Δευτεροβάθμιας Εκπαίδευσης Δυτικής Αττικής και έχουν συνολικά προϋπηρεσία έξι (6) ετών από την οποία τα τρία (3), τουλάχιστον, έτη αποτελούν διδακτική υπηρεσία στα σχολεία ο</w:t>
      </w:r>
      <w:r>
        <w:t>ι</w:t>
      </w:r>
      <w:r>
        <w:t>κείας βαθμίδας και ενδιαφέρονται για την τοποθέτησή τους ως Υπευθύνου/ης Αγωγής Υγείας της Δευτεροβάθμιας Εκπαίδευσης Δυτ. Αττικής, να υποβάλουν σχετική αίτηση και τα απαιτούμενα δ</w:t>
      </w:r>
      <w:r>
        <w:t>ι</w:t>
      </w:r>
      <w:r>
        <w:t>καιολογητικά για τη συμμετοχή τους στην οικεία διαδικασία επιλογής, σύμφωνα με τα προβλεπ</w:t>
      </w:r>
      <w:r>
        <w:t>ό</w:t>
      </w:r>
      <w:r>
        <w:t xml:space="preserve">μενα στο άρθρο 2 της με Αρ. </w:t>
      </w:r>
      <w:proofErr w:type="spellStart"/>
      <w:r>
        <w:t>Πρωτ</w:t>
      </w:r>
      <w:proofErr w:type="spellEnd"/>
      <w:r>
        <w:t>.  92998/Γ7/10.08.2012 Υ.Α. Ο περιορισμός του ελάχιστου χρ</w:t>
      </w:r>
      <w:r>
        <w:t>ό</w:t>
      </w:r>
      <w:r>
        <w:t>νου διδακτικής προϋπηρεσίας που προβλέπεται στο προηγούμενο εδάφιο δεν ισχύει για εκπαιδε</w:t>
      </w:r>
      <w:r>
        <w:t>υ</w:t>
      </w:r>
      <w:r>
        <w:t>τ</w:t>
      </w:r>
      <w:r w:rsidR="00947E8A">
        <w:t>ικούς που έχουν υπηρετήσει μία (</w:t>
      </w:r>
      <w:r>
        <w:t>1), τουλάχιστον, πλήρη θητεία σε θέση αντίστοιχου Υπευθύνου Δ/</w:t>
      </w:r>
      <w:proofErr w:type="spellStart"/>
      <w:r>
        <w:t>νσης</w:t>
      </w:r>
      <w:proofErr w:type="spellEnd"/>
      <w:r>
        <w:t xml:space="preserve"> </w:t>
      </w:r>
      <w:proofErr w:type="spellStart"/>
      <w:r>
        <w:t>Εκπ</w:t>
      </w:r>
      <w:proofErr w:type="spellEnd"/>
      <w:r>
        <w:t xml:space="preserve">/σης. </w:t>
      </w:r>
    </w:p>
    <w:p w:rsidR="00947E8A" w:rsidRPr="003E470F" w:rsidRDefault="00947E8A" w:rsidP="00947E8A">
      <w:pPr>
        <w:ind w:firstLine="360"/>
        <w:jc w:val="both"/>
        <w:rPr>
          <w:color w:val="FF0000"/>
        </w:rPr>
      </w:pPr>
    </w:p>
    <w:p w:rsidR="00360377" w:rsidRDefault="00360377" w:rsidP="00947E8A">
      <w:pPr>
        <w:ind w:firstLine="360"/>
        <w:jc w:val="both"/>
      </w:pPr>
      <w:r>
        <w:t>Δεν έχουν δικαίωμα συμμετοχής όσοι/ες εκπαιδευτικοί:</w:t>
      </w:r>
    </w:p>
    <w:p w:rsidR="00360377" w:rsidRDefault="00360377" w:rsidP="00947E8A">
      <w:pPr>
        <w:ind w:firstLine="360"/>
        <w:jc w:val="both"/>
      </w:pPr>
      <w:r>
        <w:t>α) κατέχουν θέση στελέχους της Δ/θμιας εκπαίδευσης με θητεία,</w:t>
      </w:r>
    </w:p>
    <w:p w:rsidR="00360377" w:rsidRDefault="00360377" w:rsidP="00947E8A">
      <w:pPr>
        <w:ind w:firstLine="360"/>
        <w:jc w:val="both"/>
      </w:pPr>
      <w:r>
        <w:t>β) όσοι βρίσκονται σε εκπαιδευτική άδεια και</w:t>
      </w:r>
    </w:p>
    <w:p w:rsidR="00360377" w:rsidRDefault="00360377" w:rsidP="00947E8A">
      <w:pPr>
        <w:ind w:firstLine="360"/>
        <w:jc w:val="both"/>
      </w:pPr>
      <w:r>
        <w:t>γ) όσοι εκπαιδευτικοί συνταξιοδοτούνται αυτοδίκαια κατά το σχολικό έτος 2017-2018.</w:t>
      </w:r>
    </w:p>
    <w:p w:rsidR="00C853A6" w:rsidRDefault="00C853A6" w:rsidP="00947E8A">
      <w:pPr>
        <w:ind w:firstLine="360"/>
        <w:jc w:val="both"/>
      </w:pPr>
    </w:p>
    <w:p w:rsidR="00360377" w:rsidRDefault="00C853A6" w:rsidP="00947E8A">
      <w:pPr>
        <w:ind w:firstLine="360"/>
        <w:jc w:val="both"/>
      </w:pPr>
      <w:r>
        <w:t xml:space="preserve">Η θητεία θα διαρκέσει μέχρι την πλήρωση της θέσης όπως θα προβλέπεται από νεότερη </w:t>
      </w:r>
      <w:r>
        <w:t>υ</w:t>
      </w:r>
      <w:r>
        <w:t xml:space="preserve">πουργική απόφαση.  </w:t>
      </w:r>
    </w:p>
    <w:p w:rsidR="00360377" w:rsidRDefault="00360377" w:rsidP="00947E8A">
      <w:pPr>
        <w:ind w:firstLine="360"/>
        <w:jc w:val="both"/>
      </w:pPr>
      <w:r>
        <w:t xml:space="preserve"> </w:t>
      </w:r>
    </w:p>
    <w:p w:rsidR="00360377" w:rsidRDefault="00360377" w:rsidP="00947E8A">
      <w:pPr>
        <w:ind w:firstLine="360"/>
        <w:jc w:val="both"/>
      </w:pPr>
      <w:r w:rsidRPr="00EA200F">
        <w:t>Τα κριτήρια</w:t>
      </w:r>
      <w:r w:rsidR="00C853A6">
        <w:t xml:space="preserve"> </w:t>
      </w:r>
      <w:r>
        <w:t xml:space="preserve">αξιολόγησης και αποτίμησής τους προβλέπονται </w:t>
      </w:r>
      <w:r w:rsidRPr="00EA200F">
        <w:t xml:space="preserve"> </w:t>
      </w:r>
      <w:r>
        <w:t xml:space="preserve">στο άρθρο 5 της με Αρ. </w:t>
      </w:r>
      <w:proofErr w:type="spellStart"/>
      <w:r>
        <w:t>Πρωτ</w:t>
      </w:r>
      <w:proofErr w:type="spellEnd"/>
      <w:r>
        <w:t xml:space="preserve">.  92998/Γ7/10.08.2012 Υ.Α. </w:t>
      </w:r>
    </w:p>
    <w:p w:rsidR="00947E8A" w:rsidRDefault="00947E8A" w:rsidP="00947E8A">
      <w:pPr>
        <w:ind w:firstLine="360"/>
        <w:jc w:val="both"/>
      </w:pPr>
    </w:p>
    <w:p w:rsidR="00360377" w:rsidRDefault="00360377" w:rsidP="00947E8A">
      <w:pPr>
        <w:ind w:firstLine="360"/>
        <w:jc w:val="both"/>
      </w:pPr>
      <w:r>
        <w:t>Οι ενδιαφερόμενοι/ες εκπαιδευτικοί δύνανται να υποβάλλουν αίτηση για τη συμμετοχή τους στη διαδικασία πλήρωσης της θέσης του/της Υπευθύνου/ης Αγωγής Υγείας της Δευτεροβάθμιας Ε</w:t>
      </w:r>
      <w:r>
        <w:t>κ</w:t>
      </w:r>
      <w:r>
        <w:t xml:space="preserve">παίδευσης Δυτ. Αττικής από την </w:t>
      </w:r>
      <w:r w:rsidRPr="00C853A6">
        <w:rPr>
          <w:b/>
        </w:rPr>
        <w:t>Δευτέρα 30-1-2017 έως και την Τετάρτη 01-11-2017 και ώρα 15:00</w:t>
      </w:r>
      <w:r>
        <w:t xml:space="preserve">, αυτοπροσώπως στη </w:t>
      </w:r>
      <w:r w:rsidR="00C853A6">
        <w:t>Δ.Δ.Ε. Δυτικής Αττικής</w:t>
      </w:r>
      <w:r>
        <w:t xml:space="preserve"> (</w:t>
      </w:r>
      <w:proofErr w:type="spellStart"/>
      <w:r>
        <w:t>Ίωνος</w:t>
      </w:r>
      <w:proofErr w:type="spellEnd"/>
      <w:r>
        <w:t xml:space="preserve"> Δραγούμη 24, Ελευσίνα, Τ.Κ. 19200, 2</w:t>
      </w:r>
      <w:r w:rsidRPr="00D47C9B">
        <w:rPr>
          <w:vertAlign w:val="superscript"/>
        </w:rPr>
        <w:t>ος</w:t>
      </w:r>
      <w:r>
        <w:t xml:space="preserve"> όροφος, πρωτόκολλο). Τα δικαιολογητικά θα γίνονται δεκτά μέχρι την καταληκτική ημερομηνία υποβολής των αιτήσεων.</w:t>
      </w:r>
    </w:p>
    <w:p w:rsidR="00C853A6" w:rsidRDefault="00C853A6" w:rsidP="00947E8A">
      <w:pPr>
        <w:ind w:firstLine="360"/>
        <w:jc w:val="both"/>
        <w:rPr>
          <w:b/>
        </w:rPr>
      </w:pPr>
    </w:p>
    <w:p w:rsidR="00360377" w:rsidRDefault="00360377" w:rsidP="00C853A6">
      <w:pPr>
        <w:jc w:val="both"/>
        <w:rPr>
          <w:b/>
        </w:rPr>
      </w:pPr>
      <w:r>
        <w:rPr>
          <w:b/>
        </w:rPr>
        <w:t>ΑΠΑΙΤΟΥΜΕΝΑ ΔΙΚΑΙΟΛΟΓΗΤΙΚΑ</w:t>
      </w:r>
    </w:p>
    <w:p w:rsidR="00360377" w:rsidRDefault="00360377" w:rsidP="00947E8A">
      <w:pPr>
        <w:numPr>
          <w:ilvl w:val="0"/>
          <w:numId w:val="3"/>
        </w:numPr>
        <w:spacing w:after="200" w:line="276" w:lineRule="auto"/>
        <w:jc w:val="both"/>
      </w:pPr>
      <w:r>
        <w:t>Βιογραφικό σημείωμα το οποίο συνιστά ως προς τα δηλούμενα στοιχεία υπεύθυνη δήλωση του άρθρου 8 του ν. 1599/1986.</w:t>
      </w:r>
    </w:p>
    <w:p w:rsidR="00360377" w:rsidRDefault="00360377" w:rsidP="00947E8A">
      <w:pPr>
        <w:numPr>
          <w:ilvl w:val="0"/>
          <w:numId w:val="3"/>
        </w:numPr>
        <w:spacing w:after="200" w:line="276" w:lineRule="auto"/>
        <w:jc w:val="both"/>
      </w:pPr>
      <w:r>
        <w:t>Τίτλοι σπουδών.</w:t>
      </w:r>
    </w:p>
    <w:p w:rsidR="00360377" w:rsidRDefault="00360377" w:rsidP="00C853A6">
      <w:pPr>
        <w:numPr>
          <w:ilvl w:val="0"/>
          <w:numId w:val="3"/>
        </w:numPr>
        <w:spacing w:after="200" w:line="276" w:lineRule="auto"/>
        <w:jc w:val="both"/>
      </w:pPr>
      <w:r>
        <w:t>Δικαιολογητικά που πιστοποιούν τη συνδρομή των επικαλούμενων κριτηρίων.</w:t>
      </w:r>
    </w:p>
    <w:p w:rsidR="00360377" w:rsidRDefault="00360377" w:rsidP="00947E8A">
      <w:pPr>
        <w:ind w:firstLine="360"/>
        <w:jc w:val="both"/>
      </w:pPr>
    </w:p>
    <w:tbl>
      <w:tblPr>
        <w:tblW w:w="0" w:type="auto"/>
        <w:tblLook w:val="0000"/>
      </w:tblPr>
      <w:tblGrid>
        <w:gridCol w:w="4243"/>
        <w:gridCol w:w="4279"/>
      </w:tblGrid>
      <w:tr w:rsidR="00360377" w:rsidRPr="00EA200F" w:rsidTr="00DB42D3">
        <w:tc>
          <w:tcPr>
            <w:tcW w:w="4243" w:type="dxa"/>
          </w:tcPr>
          <w:p w:rsidR="00360377" w:rsidRPr="00EA200F" w:rsidRDefault="00360377" w:rsidP="00DB42D3">
            <w:pPr>
              <w:tabs>
                <w:tab w:val="left" w:pos="9639"/>
              </w:tabs>
              <w:jc w:val="both"/>
            </w:pPr>
          </w:p>
        </w:tc>
        <w:tc>
          <w:tcPr>
            <w:tcW w:w="4279" w:type="dxa"/>
          </w:tcPr>
          <w:p w:rsidR="00360377" w:rsidRDefault="00360377" w:rsidP="00DB42D3">
            <w:pPr>
              <w:tabs>
                <w:tab w:val="left" w:pos="9639"/>
              </w:tabs>
              <w:jc w:val="center"/>
              <w:rPr>
                <w:b/>
                <w:bCs/>
              </w:rPr>
            </w:pPr>
          </w:p>
          <w:p w:rsidR="00360377" w:rsidRPr="00EA200F" w:rsidRDefault="00360377" w:rsidP="00DB42D3">
            <w:pPr>
              <w:tabs>
                <w:tab w:val="left" w:pos="9639"/>
              </w:tabs>
              <w:jc w:val="center"/>
              <w:rPr>
                <w:b/>
                <w:bCs/>
              </w:rPr>
            </w:pPr>
          </w:p>
        </w:tc>
      </w:tr>
    </w:tbl>
    <w:p w:rsidR="00D763B3" w:rsidRDefault="00C853A6" w:rsidP="00571497">
      <w:pPr>
        <w:tabs>
          <w:tab w:val="left" w:pos="567"/>
        </w:tabs>
        <w:spacing w:line="360" w:lineRule="auto"/>
      </w:pPr>
      <w:r>
        <w:t xml:space="preserve">                                                                 </w:t>
      </w:r>
      <w:r w:rsidR="00571497">
        <w:t xml:space="preserve">Ο ΔΙΕΥΘΥΝΤΗΣ  </w:t>
      </w:r>
      <w:r w:rsidR="00D763B3">
        <w:t>ΔΕΥΤΕΡΟΒΑΘΜΙΑΣ ΕΚΠΑΙΔΕΥΣΗΣ</w:t>
      </w:r>
    </w:p>
    <w:p w:rsidR="00571497" w:rsidRDefault="00D763B3" w:rsidP="00571497">
      <w:pPr>
        <w:tabs>
          <w:tab w:val="left" w:pos="567"/>
        </w:tabs>
        <w:spacing w:line="360" w:lineRule="auto"/>
      </w:pPr>
      <w:r>
        <w:t xml:space="preserve">                                                                                               ΔΥΤΙΚΗΣ ΑΤΤΙΚΗΣ</w:t>
      </w:r>
    </w:p>
    <w:p w:rsidR="00571497" w:rsidRDefault="00571497" w:rsidP="00571497">
      <w:pPr>
        <w:tabs>
          <w:tab w:val="left" w:pos="567"/>
        </w:tabs>
        <w:spacing w:line="360" w:lineRule="auto"/>
      </w:pPr>
      <w:r>
        <w:t xml:space="preserve">   </w:t>
      </w:r>
    </w:p>
    <w:p w:rsidR="00C853A6" w:rsidRDefault="00571497" w:rsidP="00052D74">
      <w:pPr>
        <w:tabs>
          <w:tab w:val="left" w:pos="567"/>
        </w:tabs>
        <w:spacing w:line="360" w:lineRule="auto"/>
      </w:pPr>
      <w:r>
        <w:t xml:space="preserve">                                     </w:t>
      </w:r>
      <w:r w:rsidR="0035692F">
        <w:t xml:space="preserve"> </w:t>
      </w:r>
    </w:p>
    <w:p w:rsidR="00C853A6" w:rsidRDefault="00C853A6" w:rsidP="00052D74">
      <w:pPr>
        <w:tabs>
          <w:tab w:val="left" w:pos="567"/>
        </w:tabs>
        <w:spacing w:line="360" w:lineRule="auto"/>
      </w:pPr>
    </w:p>
    <w:p w:rsidR="0004500A" w:rsidRPr="00947E8A" w:rsidRDefault="00C853A6" w:rsidP="00052D74">
      <w:pPr>
        <w:tabs>
          <w:tab w:val="left" w:pos="567"/>
        </w:tabs>
        <w:spacing w:line="360" w:lineRule="auto"/>
      </w:pPr>
      <w:r>
        <w:t xml:space="preserve">                                                                                       </w:t>
      </w:r>
      <w:r w:rsidR="00D763B3">
        <w:t>ΞΕΝΟΦΩΝ Α. ΒΑΜΒΑΚΕΡΟΣ</w:t>
      </w:r>
    </w:p>
    <w:sectPr w:rsidR="0004500A" w:rsidRPr="00947E8A" w:rsidSect="00947E8A">
      <w:type w:val="continuous"/>
      <w:pgSz w:w="11907" w:h="16840"/>
      <w:pgMar w:top="993" w:right="992" w:bottom="851"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C80EC8"/>
    <w:multiLevelType w:val="hybridMultilevel"/>
    <w:tmpl w:val="A03C90C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67AA409C"/>
    <w:multiLevelType w:val="hybridMultilevel"/>
    <w:tmpl w:val="1BD071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1D67FCD"/>
    <w:multiLevelType w:val="hybridMultilevel"/>
    <w:tmpl w:val="5A9EB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proofState w:spelling="clean" w:grammar="clean"/>
  <w:stylePaneFormatFilter w:val="3F01"/>
  <w:defaultTabStop w:val="709"/>
  <w:autoHyphenation/>
  <w:hyphenationZone w:val="425"/>
  <w:displayHorizontalDrawingGridEvery w:val="0"/>
  <w:displayVerticalDrawingGridEvery w:val="0"/>
  <w:doNotUseMarginsForDrawingGridOrigin/>
  <w:noPunctuationKerning/>
  <w:characterSpacingControl w:val="doNotCompress"/>
  <w:compat/>
  <w:rsids>
    <w:rsidRoot w:val="00DF2ACC"/>
    <w:rsid w:val="00002577"/>
    <w:rsid w:val="00004DAF"/>
    <w:rsid w:val="00005744"/>
    <w:rsid w:val="00034B1B"/>
    <w:rsid w:val="00036C78"/>
    <w:rsid w:val="000441B8"/>
    <w:rsid w:val="0004500A"/>
    <w:rsid w:val="00052D74"/>
    <w:rsid w:val="00081992"/>
    <w:rsid w:val="000908F6"/>
    <w:rsid w:val="000A1C71"/>
    <w:rsid w:val="000A7664"/>
    <w:rsid w:val="000B050F"/>
    <w:rsid w:val="000B7809"/>
    <w:rsid w:val="000C184B"/>
    <w:rsid w:val="000C3880"/>
    <w:rsid w:val="000F4ABF"/>
    <w:rsid w:val="00100BEB"/>
    <w:rsid w:val="00113039"/>
    <w:rsid w:val="00130236"/>
    <w:rsid w:val="00140E32"/>
    <w:rsid w:val="00145688"/>
    <w:rsid w:val="001542A4"/>
    <w:rsid w:val="00170EDB"/>
    <w:rsid w:val="001A268A"/>
    <w:rsid w:val="001B00E4"/>
    <w:rsid w:val="001B0132"/>
    <w:rsid w:val="001B3FB8"/>
    <w:rsid w:val="001E61A7"/>
    <w:rsid w:val="001F6662"/>
    <w:rsid w:val="002250B2"/>
    <w:rsid w:val="0023055E"/>
    <w:rsid w:val="00232C9E"/>
    <w:rsid w:val="00234ACD"/>
    <w:rsid w:val="00240C23"/>
    <w:rsid w:val="00255314"/>
    <w:rsid w:val="002569CF"/>
    <w:rsid w:val="0026774D"/>
    <w:rsid w:val="0026784B"/>
    <w:rsid w:val="002735E5"/>
    <w:rsid w:val="0028133D"/>
    <w:rsid w:val="00285E40"/>
    <w:rsid w:val="002A1851"/>
    <w:rsid w:val="002A41C6"/>
    <w:rsid w:val="002A5194"/>
    <w:rsid w:val="002A6994"/>
    <w:rsid w:val="002B13B9"/>
    <w:rsid w:val="002B2926"/>
    <w:rsid w:val="002B7995"/>
    <w:rsid w:val="002C0FE9"/>
    <w:rsid w:val="002E4812"/>
    <w:rsid w:val="002F023F"/>
    <w:rsid w:val="002F10DE"/>
    <w:rsid w:val="00301ECB"/>
    <w:rsid w:val="00323DBF"/>
    <w:rsid w:val="003314DF"/>
    <w:rsid w:val="003511BB"/>
    <w:rsid w:val="0035692F"/>
    <w:rsid w:val="00360377"/>
    <w:rsid w:val="00371BAF"/>
    <w:rsid w:val="00374FD2"/>
    <w:rsid w:val="003810A7"/>
    <w:rsid w:val="0038462B"/>
    <w:rsid w:val="003A1063"/>
    <w:rsid w:val="003A292E"/>
    <w:rsid w:val="003D7FA4"/>
    <w:rsid w:val="003E2F51"/>
    <w:rsid w:val="00404D2A"/>
    <w:rsid w:val="004119E4"/>
    <w:rsid w:val="00420E7A"/>
    <w:rsid w:val="00423847"/>
    <w:rsid w:val="00435997"/>
    <w:rsid w:val="0044197E"/>
    <w:rsid w:val="00445439"/>
    <w:rsid w:val="00452428"/>
    <w:rsid w:val="00454AFE"/>
    <w:rsid w:val="0046018B"/>
    <w:rsid w:val="00471028"/>
    <w:rsid w:val="004822D5"/>
    <w:rsid w:val="004A7AE5"/>
    <w:rsid w:val="004C490F"/>
    <w:rsid w:val="004D2E66"/>
    <w:rsid w:val="004E736B"/>
    <w:rsid w:val="004F20DD"/>
    <w:rsid w:val="004F492B"/>
    <w:rsid w:val="00510762"/>
    <w:rsid w:val="00516AD1"/>
    <w:rsid w:val="00532765"/>
    <w:rsid w:val="00533752"/>
    <w:rsid w:val="00540263"/>
    <w:rsid w:val="00541723"/>
    <w:rsid w:val="0054767E"/>
    <w:rsid w:val="00552C68"/>
    <w:rsid w:val="00555101"/>
    <w:rsid w:val="00557F7F"/>
    <w:rsid w:val="00571497"/>
    <w:rsid w:val="00577CC7"/>
    <w:rsid w:val="00592456"/>
    <w:rsid w:val="005D1CA7"/>
    <w:rsid w:val="005F0F27"/>
    <w:rsid w:val="00605C8B"/>
    <w:rsid w:val="006149C9"/>
    <w:rsid w:val="00623F9F"/>
    <w:rsid w:val="006256FA"/>
    <w:rsid w:val="006262CF"/>
    <w:rsid w:val="00627ADC"/>
    <w:rsid w:val="00650B1D"/>
    <w:rsid w:val="00657318"/>
    <w:rsid w:val="00671BF0"/>
    <w:rsid w:val="00692A24"/>
    <w:rsid w:val="006973AA"/>
    <w:rsid w:val="0069788E"/>
    <w:rsid w:val="006A5884"/>
    <w:rsid w:val="006C085A"/>
    <w:rsid w:val="006D0A76"/>
    <w:rsid w:val="006F7995"/>
    <w:rsid w:val="007060BC"/>
    <w:rsid w:val="007219CE"/>
    <w:rsid w:val="00723146"/>
    <w:rsid w:val="00724740"/>
    <w:rsid w:val="007249A4"/>
    <w:rsid w:val="00732940"/>
    <w:rsid w:val="00747A7C"/>
    <w:rsid w:val="0075217F"/>
    <w:rsid w:val="00763C48"/>
    <w:rsid w:val="0077056A"/>
    <w:rsid w:val="007756E2"/>
    <w:rsid w:val="0079347D"/>
    <w:rsid w:val="007A1171"/>
    <w:rsid w:val="007B32AE"/>
    <w:rsid w:val="007B3E81"/>
    <w:rsid w:val="007E432E"/>
    <w:rsid w:val="007E440B"/>
    <w:rsid w:val="00801B2A"/>
    <w:rsid w:val="008131F4"/>
    <w:rsid w:val="00864307"/>
    <w:rsid w:val="008B4013"/>
    <w:rsid w:val="008C7BD7"/>
    <w:rsid w:val="008D4F68"/>
    <w:rsid w:val="008E14E5"/>
    <w:rsid w:val="008E2181"/>
    <w:rsid w:val="00900D9A"/>
    <w:rsid w:val="0091682B"/>
    <w:rsid w:val="00917546"/>
    <w:rsid w:val="009267BB"/>
    <w:rsid w:val="009312B3"/>
    <w:rsid w:val="00942DF1"/>
    <w:rsid w:val="00943978"/>
    <w:rsid w:val="00947E8A"/>
    <w:rsid w:val="00964875"/>
    <w:rsid w:val="0096589C"/>
    <w:rsid w:val="009725D3"/>
    <w:rsid w:val="009800F2"/>
    <w:rsid w:val="00983902"/>
    <w:rsid w:val="009906B8"/>
    <w:rsid w:val="00991924"/>
    <w:rsid w:val="009B41C5"/>
    <w:rsid w:val="009D1BEC"/>
    <w:rsid w:val="009E13CE"/>
    <w:rsid w:val="00A036A4"/>
    <w:rsid w:val="00A26AE7"/>
    <w:rsid w:val="00A27167"/>
    <w:rsid w:val="00A36713"/>
    <w:rsid w:val="00A37FA3"/>
    <w:rsid w:val="00A45B7D"/>
    <w:rsid w:val="00A50FC8"/>
    <w:rsid w:val="00A51A36"/>
    <w:rsid w:val="00A76209"/>
    <w:rsid w:val="00A8170A"/>
    <w:rsid w:val="00A841BB"/>
    <w:rsid w:val="00A85641"/>
    <w:rsid w:val="00A86842"/>
    <w:rsid w:val="00A92AA7"/>
    <w:rsid w:val="00A97830"/>
    <w:rsid w:val="00A9788D"/>
    <w:rsid w:val="00AA3D83"/>
    <w:rsid w:val="00AB40DF"/>
    <w:rsid w:val="00AC72DB"/>
    <w:rsid w:val="00AD623B"/>
    <w:rsid w:val="00AE6E84"/>
    <w:rsid w:val="00B16908"/>
    <w:rsid w:val="00B45952"/>
    <w:rsid w:val="00B477BF"/>
    <w:rsid w:val="00B53BF4"/>
    <w:rsid w:val="00B54C3B"/>
    <w:rsid w:val="00B60A3D"/>
    <w:rsid w:val="00B64F2B"/>
    <w:rsid w:val="00B65CC7"/>
    <w:rsid w:val="00BB4D5E"/>
    <w:rsid w:val="00BC669B"/>
    <w:rsid w:val="00BD5E68"/>
    <w:rsid w:val="00BE3BDD"/>
    <w:rsid w:val="00C03A66"/>
    <w:rsid w:val="00C22582"/>
    <w:rsid w:val="00C311F1"/>
    <w:rsid w:val="00C474F4"/>
    <w:rsid w:val="00C768CC"/>
    <w:rsid w:val="00C83835"/>
    <w:rsid w:val="00C843FD"/>
    <w:rsid w:val="00C853A6"/>
    <w:rsid w:val="00C93CE9"/>
    <w:rsid w:val="00CB79B6"/>
    <w:rsid w:val="00CD031F"/>
    <w:rsid w:val="00CD180A"/>
    <w:rsid w:val="00CD4A97"/>
    <w:rsid w:val="00CE4490"/>
    <w:rsid w:val="00CF2E94"/>
    <w:rsid w:val="00CF391B"/>
    <w:rsid w:val="00CF457F"/>
    <w:rsid w:val="00D04C81"/>
    <w:rsid w:val="00D1107B"/>
    <w:rsid w:val="00D60BF5"/>
    <w:rsid w:val="00D650FE"/>
    <w:rsid w:val="00D763B3"/>
    <w:rsid w:val="00D80003"/>
    <w:rsid w:val="00D85EE9"/>
    <w:rsid w:val="00D9037F"/>
    <w:rsid w:val="00D90FB5"/>
    <w:rsid w:val="00D92A44"/>
    <w:rsid w:val="00D97CDF"/>
    <w:rsid w:val="00DA508C"/>
    <w:rsid w:val="00DC12C6"/>
    <w:rsid w:val="00DD3DEA"/>
    <w:rsid w:val="00DD6AB3"/>
    <w:rsid w:val="00DF12E1"/>
    <w:rsid w:val="00DF2ACC"/>
    <w:rsid w:val="00DF4318"/>
    <w:rsid w:val="00DF6BD7"/>
    <w:rsid w:val="00E01A74"/>
    <w:rsid w:val="00E07FB7"/>
    <w:rsid w:val="00E16896"/>
    <w:rsid w:val="00E40752"/>
    <w:rsid w:val="00E41788"/>
    <w:rsid w:val="00E42414"/>
    <w:rsid w:val="00E43959"/>
    <w:rsid w:val="00E538EF"/>
    <w:rsid w:val="00E57680"/>
    <w:rsid w:val="00E61630"/>
    <w:rsid w:val="00E7283D"/>
    <w:rsid w:val="00E90517"/>
    <w:rsid w:val="00E90F3B"/>
    <w:rsid w:val="00EA2635"/>
    <w:rsid w:val="00ED4D4E"/>
    <w:rsid w:val="00EE259B"/>
    <w:rsid w:val="00F021A6"/>
    <w:rsid w:val="00F05AB6"/>
    <w:rsid w:val="00F05BBB"/>
    <w:rsid w:val="00F2487D"/>
    <w:rsid w:val="00F25CCF"/>
    <w:rsid w:val="00F4143C"/>
    <w:rsid w:val="00F57719"/>
    <w:rsid w:val="00F63B68"/>
    <w:rsid w:val="00F655F9"/>
    <w:rsid w:val="00F727AE"/>
    <w:rsid w:val="00F820E9"/>
    <w:rsid w:val="00F848AD"/>
    <w:rsid w:val="00F940CD"/>
    <w:rsid w:val="00FA3C71"/>
    <w:rsid w:val="00FB37DF"/>
    <w:rsid w:val="00FB66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7ADC"/>
    <w:rPr>
      <w:rFonts w:ascii="Arial" w:hAnsi="Arial"/>
      <w:sz w:val="22"/>
    </w:rPr>
  </w:style>
  <w:style w:type="paragraph" w:styleId="1">
    <w:name w:val="heading 1"/>
    <w:basedOn w:val="a"/>
    <w:next w:val="a"/>
    <w:qFormat/>
    <w:rsid w:val="00627ADC"/>
    <w:pPr>
      <w:keepNext/>
      <w:jc w:val="center"/>
      <w:outlineLvl w:val="0"/>
    </w:pPr>
    <w:rPr>
      <w:b/>
    </w:rPr>
  </w:style>
  <w:style w:type="paragraph" w:styleId="2">
    <w:name w:val="heading 2"/>
    <w:basedOn w:val="a"/>
    <w:next w:val="a"/>
    <w:qFormat/>
    <w:rsid w:val="007A1171"/>
    <w:pPr>
      <w:keepNext/>
      <w:jc w:val="center"/>
      <w:outlineLvl w:val="1"/>
    </w:pPr>
    <w:rPr>
      <w:b/>
      <w:sz w:val="24"/>
    </w:rPr>
  </w:style>
  <w:style w:type="paragraph" w:styleId="3">
    <w:name w:val="heading 3"/>
    <w:basedOn w:val="a"/>
    <w:next w:val="a"/>
    <w:qFormat/>
    <w:rsid w:val="007A1171"/>
    <w:pPr>
      <w:keepNext/>
      <w:jc w:val="both"/>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27ADC"/>
    <w:pPr>
      <w:tabs>
        <w:tab w:val="left" w:pos="567"/>
      </w:tabs>
      <w:spacing w:line="360" w:lineRule="auto"/>
      <w:jc w:val="both"/>
    </w:pPr>
  </w:style>
  <w:style w:type="paragraph" w:styleId="a4">
    <w:name w:val="Balloon Text"/>
    <w:basedOn w:val="a"/>
    <w:semiHidden/>
    <w:rsid w:val="00F63B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747</Words>
  <Characters>4039</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ΕΛΛΗΝΙΚΗ ΔΗΜΟΚΡΑΤΙΑ                      ΑΝΩ ΛΙΟΣΙΑ      /    /  1995</vt:lpstr>
    </vt:vector>
  </TitlesOfParts>
  <Company>ΔΕΔΑ</Company>
  <LinksUpToDate>false</LinksUpToDate>
  <CharactersWithSpaces>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                      ΑΝΩ ΛΙΟΣΙΑ      /    /  1995</dc:title>
  <dc:subject>ΥΠΕΡΩΡΙΕΣ ΜΟΝΙΜΩΝ</dc:subject>
  <dc:creator>2o Γραφείο Δ/θμιας εκπ/σης Δυτ. Αττικής</dc:creator>
  <cp:lastModifiedBy>marilena</cp:lastModifiedBy>
  <cp:revision>8</cp:revision>
  <cp:lastPrinted>2017-10-30T08:43:00Z</cp:lastPrinted>
  <dcterms:created xsi:type="dcterms:W3CDTF">2017-10-30T08:02:00Z</dcterms:created>
  <dcterms:modified xsi:type="dcterms:W3CDTF">2017-10-30T08:43:00Z</dcterms:modified>
</cp:coreProperties>
</file>